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616"/>
        <w:gridCol w:w="2616"/>
        <w:gridCol w:w="2616"/>
        <w:gridCol w:w="2616"/>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10464" w:type="dxa"/>
            <w:gridSpan w:val="4"/>
            <w:shd w:val="clear" w:color="auto" w:fill="0060A8"/>
            <w:vAlign w:val="center"/>
          </w:tcPr>
          <w:p>
            <w:pPr>
              <w:keepNext w:val="0"/>
              <w:keepLines w:val="0"/>
              <w:widowControl/>
              <w:suppressLineNumbers w:val="0"/>
              <w:shd w:val="clear" w:fill="0060A8"/>
              <w:spacing w:line="330" w:lineRule="atLeast"/>
              <w:ind w:left="0" w:firstLine="0"/>
              <w:jc w:val="center"/>
              <w:rPr>
                <w:rFonts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项目简介</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项目名称</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bookmarkStart w:id="0" w:name="_GoBack"/>
            <w:r>
              <w:rPr>
                <w:rFonts w:hint="eastAsia" w:ascii="宋体" w:hAnsi="宋体" w:eastAsia="宋体" w:cs="宋体"/>
                <w:b w:val="0"/>
                <w:i w:val="0"/>
                <w:caps w:val="0"/>
                <w:color w:val="666666"/>
                <w:spacing w:val="0"/>
                <w:kern w:val="0"/>
                <w:sz w:val="18"/>
                <w:szCs w:val="18"/>
                <w:lang w:val="en-US" w:eastAsia="zh-CN" w:bidi="ar"/>
              </w:rPr>
              <w:t>邵村社区五彩益家枢纽式运营管理服务项目</w:t>
            </w:r>
            <w:bookmarkEnd w:id="0"/>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项目代码</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ksztb2015-E-0006</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项目类型</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社区公益服务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发布时间</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2016-03-08</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执行机构</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昆山壹方慈善公益发中心</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服务对象</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邵村社区居民</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活动地域</w:t>
            </w:r>
          </w:p>
        </w:tc>
        <w:tc>
          <w:tcPr>
            <w:tcW w:w="261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邵村社区五彩益家</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业务指导部门</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陆家镇民政办</w:t>
            </w:r>
          </w:p>
        </w:tc>
      </w:tr>
    </w:tbl>
    <w:p>
      <w:pPr>
        <w:rPr>
          <w:vanish/>
          <w:sz w:val="24"/>
          <w:szCs w:val="24"/>
        </w:rPr>
      </w:pPr>
    </w:p>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162"/>
        <w:gridCol w:w="1922"/>
        <w:gridCol w:w="697"/>
        <w:gridCol w:w="592"/>
        <w:gridCol w:w="5091"/>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10464" w:type="dxa"/>
            <w:gridSpan w:val="5"/>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项目实施计划</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162"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活动主题</w:t>
            </w:r>
          </w:p>
        </w:tc>
        <w:tc>
          <w:tcPr>
            <w:tcW w:w="1922"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实施时间</w:t>
            </w:r>
          </w:p>
        </w:tc>
        <w:tc>
          <w:tcPr>
            <w:tcW w:w="69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参与人数</w:t>
            </w:r>
          </w:p>
        </w:tc>
        <w:tc>
          <w:tcPr>
            <w:tcW w:w="592"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活动频次</w:t>
            </w:r>
          </w:p>
        </w:tc>
        <w:tc>
          <w:tcPr>
            <w:tcW w:w="5091"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活动内容</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16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人才培养</w:t>
            </w:r>
          </w:p>
        </w:tc>
        <w:tc>
          <w:tcPr>
            <w:tcW w:w="192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6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150人次</w:t>
            </w:r>
          </w:p>
        </w:tc>
        <w:tc>
          <w:tcPr>
            <w:tcW w:w="59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6次</w:t>
            </w:r>
          </w:p>
        </w:tc>
        <w:tc>
          <w:tcPr>
            <w:tcW w:w="5091"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项目启动初期利用五彩益家的枢纽平台作用，对社区层面的社会组织、备案组织和草根组织进行需求摸底和梳理，建立“五彩益家公益学堂”有针对性开展培训工作，提升专业性和服务能力。 实施方案： 建立公益学堂，系统开展人才培训活动。 第一期：社会组织大发展历程和社会组织的内部管理； 第二期：社区和社区需求概论； 第三期：公益项目的开发与设计； 第四期：社会工作通才模式； 第五期：公益组织的品牌塑造和社会影响力传播； 第六期：志愿者在社会服务中的作用及管理模式；</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16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项目孵化</w:t>
            </w:r>
          </w:p>
        </w:tc>
        <w:tc>
          <w:tcPr>
            <w:tcW w:w="192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6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980人次</w:t>
            </w:r>
          </w:p>
        </w:tc>
        <w:tc>
          <w:tcPr>
            <w:tcW w:w="59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84次</w:t>
            </w:r>
          </w:p>
        </w:tc>
        <w:tc>
          <w:tcPr>
            <w:tcW w:w="5091"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根据昆山市民政局对五彩益家的功能定位——项目落地，服务社区。根据邵村社区的实际情况，针对老年人、残障人士、青少年、妇女、文体团队、特殊家庭、志愿者等7类在社区中具有典型需求的群体，开展项目化服务，按照共治惠民的要求，在服务社区居民的同时，培育和孵化公益组织。 实施方案： 1.乐巢行动计划——由社工和医务工作者，有计划的开展老年人生活方式进行干预，提升健康仪式，传播健康知识，促进健康行动； 2、阳光助残之家——通过生活照料类、能力提升类和精神文化和社区融合类服务活动，让残障人士平等享有经济社会发展成果。 3、五彩青少年之家——以集体生活方式影响青少儿的行为方式，培养其对待生活和学习的积极态度，促进其心理健康和社区融合。开展特色兴趣小组，在小组中提升组员领导参与能力，促进社区融合； 4、铿锵玫瑰妇女之家——为社区妇女搭建一个参与社区、服务社区的平台，通过兴趣爱好为载体，开发设计符合妇女参与的活动和项目，发挥优势视角，为妇女赋权增能。逐步走向议事平台。 5、文体团队联合会——基于社区原有的戏曲文艺队伍、文体活动队伍、社区备案组织相对活跃以及规范化不足的现状，通过组建联合会的形式，加强对这些组织的引导和管理，以促使这些组织在活动内容的多样化、管理的规范化、活动的品牌化方面有所提升。相较于单一的草根组织培育成效更加明显。 6、七彩志愿者之家——将五彩益家建成团结和凝集社区志愿者的基地，发展、培训志愿者，开发设计志愿服务项目，推动社区居民助人自助。在社工的带领下，倡导社区居民以志愿服务的方式参与社区治理和社区服务。 7、连心家园——主要针对计生特殊关爱对象，以社工+志愿者的服务方式，开展心理疏导、精神慰藉、团建活动，帮助受益对象走出心里阴霾，更好的回归正常生活。</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16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平台搭建</w:t>
            </w:r>
          </w:p>
        </w:tc>
        <w:tc>
          <w:tcPr>
            <w:tcW w:w="192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6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200人次</w:t>
            </w:r>
          </w:p>
        </w:tc>
        <w:tc>
          <w:tcPr>
            <w:tcW w:w="59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4次</w:t>
            </w:r>
          </w:p>
        </w:tc>
        <w:tc>
          <w:tcPr>
            <w:tcW w:w="5091"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以社区需求为出发点，以五彩益家为基地，在昆山市文明办、志愿者协会等指导下，利用全市统一平台，有针对性开展志愿服务。 实施方案： 以五彩益家公益服务项目枢纽平台为基础建立“公益接力银行”；采用“银行”的运作模式，建立社区志愿者的综合管理平台，完成志愿者报名登记、服务需求匹配、服务时间记录、服务对象满意度测评等工作，形成为志愿者服务管理的有效闭环。每位志愿者拥有“公益账户”，用以记录互助活动的开展情况，以及记录服务时间。 1.创新建立“积分兑换自助关爱服务机制”，根据时间的累计兑换相应的服务和公益活动。每季度兑换一次；没有兑换的时间继续累积，永不作废； 2. “公益本金”可兑换的内容： 2.1.公益活动：可参加五彩益家举办的各类公益活动，亲子读书活动等； 2.2.公益服务：可为家庭中80岁以上的老人兑换“十助”服务；以及累积到自身需要服务的时候，兑换“十助”服务； 2.3.生活服务：可兑换磨刀、修伞、修鞋、修家电等生活服务。 3.设立公益接力银行服务基地，为志愿者开展活动提供场地支持和基本条件； 4.设立公益接力银行服务总队，服务总队由热心人士自发组织，经过评估后授予总队称号，可自行按照章程开展公益活动； 5.每年度开展优秀服务总队和先进个人评选，并给予荣誉和物质奖励。 6.工作流程： 志愿者申请--办理登记--志愿者岗前培训—服务匹配--活动记录及回访--信用监管--“本息”兑换。</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16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组织孵化</w:t>
            </w:r>
          </w:p>
        </w:tc>
        <w:tc>
          <w:tcPr>
            <w:tcW w:w="192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6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120人次</w:t>
            </w:r>
          </w:p>
        </w:tc>
        <w:tc>
          <w:tcPr>
            <w:tcW w:w="59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6次</w:t>
            </w:r>
          </w:p>
        </w:tc>
        <w:tc>
          <w:tcPr>
            <w:tcW w:w="5091"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自治团队集聚在居民区，通过大力支持各居民区培育各类群众自治团队，提升社区服务和社区建设水平。 实施方案： 利用五彩益家的功能优势，培育和扶持一个便民服务类组织、一个社区自之类组织，通过项目的引导和培育，独立开展服务和日常运作。</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216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品牌推广</w:t>
            </w:r>
          </w:p>
        </w:tc>
        <w:tc>
          <w:tcPr>
            <w:tcW w:w="192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69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200人次</w:t>
            </w:r>
          </w:p>
        </w:tc>
        <w:tc>
          <w:tcPr>
            <w:tcW w:w="592"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2次</w:t>
            </w:r>
          </w:p>
        </w:tc>
        <w:tc>
          <w:tcPr>
            <w:tcW w:w="5091"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以服务带动体验，以体验增强认识，为充分彰显五彩益家的枢纽平台作用，将重点开展两次大型公益活动，提升公益组织的影响力。 实施方案： 公益嘉年华活动——项目实施上半年开展一次，重点展示看得见的服务项目，让居民体验公益服务； 陆家镇公益伙伴日活动——下半年开展一次，通过展示、论坛等形式重点突出和总结三社联动在社区治理和社区服务中的作用。</w:t>
            </w:r>
          </w:p>
        </w:tc>
      </w:tr>
    </w:tbl>
    <w:p>
      <w:pPr>
        <w:rPr>
          <w:vanish/>
          <w:sz w:val="24"/>
          <w:szCs w:val="24"/>
        </w:rPr>
      </w:pPr>
    </w:p>
    <w:tbl>
      <w:tblPr>
        <w:tblW w:w="10463"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1360"/>
        <w:gridCol w:w="1046"/>
        <w:gridCol w:w="941"/>
        <w:gridCol w:w="1151"/>
        <w:gridCol w:w="1988"/>
        <w:gridCol w:w="3977"/>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10463" w:type="dxa"/>
            <w:gridSpan w:val="6"/>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项目预算</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1360"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费用类别</w:t>
            </w:r>
          </w:p>
        </w:tc>
        <w:tc>
          <w:tcPr>
            <w:tcW w:w="104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单价（元）</w:t>
            </w:r>
          </w:p>
        </w:tc>
        <w:tc>
          <w:tcPr>
            <w:tcW w:w="941"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单位</w:t>
            </w:r>
          </w:p>
        </w:tc>
        <w:tc>
          <w:tcPr>
            <w:tcW w:w="1151"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数量</w:t>
            </w:r>
          </w:p>
        </w:tc>
        <w:tc>
          <w:tcPr>
            <w:tcW w:w="1988"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总额（元）</w:t>
            </w:r>
          </w:p>
        </w:tc>
        <w:tc>
          <w:tcPr>
            <w:tcW w:w="397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备注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人才培养专家补贴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1500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项目年度内邀请行业领军人物、高校专家等开展社会组织、备案组织和志愿服务团队领军人才培训，按照不同的主题内容分别开展。</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社工补贴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3名社工参与组织实施</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150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培训资料打印费，公益学堂采取系统化培训，并整合形成系统的培训资料</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项目孵化活动物资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5</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元/份</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980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4900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7个具体服务项目，覆盖980名受益对象，每名受益对象建立完善的档案资料和需求调查表。受益对象档案建设材料购买</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宣传费</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500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元/个</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7</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3500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每个项目制作一份易拉宝、设计一个微信公众号，开展系统的宣传。</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培育经费</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13000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元/个</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7</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91000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每个项目年度内围绕受益对象开展项目化服务经费。</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社工补贴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252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25200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每个项目每月至少活动1次，每次3名社工参与服务。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平台搭建活动物资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25</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元/份</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2500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志愿者档案建设和形象物品制作补贴</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项目年度内组织四次大型的志愿服务活动。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技术人员补贴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建立一套完善的“公益接力银行”运行制度，并逐步完善。制度设计费用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志愿者补贴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项目年度内组织四次大型的志愿服务活动。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社工补贴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每次活动3名社工全程参与。</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组织孵化活动物资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元/个</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组织档案建设和宣传资料补贴</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360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茶水费补贴</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专家补贴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辅助组织开展活动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社工补贴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3名社工全程参与组织孵化工作</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品牌推广活动物资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活动实施所设计的物料、运输、午餐、交通补贴、人员补贴等费用</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活动物资</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茶水费补贴</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技术人员补贴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设计费用。由社工和项目组人员联合民政办、社区设计活动主题和具体方案。</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社工补贴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元/人/次</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600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3名社工全程参与活动设计和实施</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人力费用财务管理费用</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元/月</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4800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处理项目账务</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项目负责人补贴</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1000</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元/月</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12000</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统筹协调项目实施和政府、社区、周边资源关系</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管理费</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265.5</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元/月</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12</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3186</w:t>
            </w:r>
          </w:p>
        </w:tc>
        <w:tc>
          <w:tcPr>
            <w:tcW w:w="3977" w:type="dxa"/>
            <w:shd w:val="clear" w:color="auto" w:fill="F1F9BF"/>
            <w:vAlign w:val="center"/>
          </w:tcPr>
          <w:p>
            <w:pPr>
              <w:jc w:val="left"/>
              <w:rPr>
                <w:rFonts w:hint="eastAsia" w:ascii="宋体" w:hAnsi="宋体" w:eastAsia="宋体" w:cs="宋体"/>
                <w:b w:val="0"/>
                <w:i w:val="0"/>
                <w:caps w:val="0"/>
                <w:color w:val="666666"/>
                <w:spacing w:val="0"/>
                <w:sz w:val="18"/>
                <w:szCs w:val="18"/>
              </w:rPr>
            </w:pP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450" w:hRule="atLeast"/>
          <w:tblCellSpacing w:w="0" w:type="dxa"/>
        </w:trPr>
        <w:tc>
          <w:tcPr>
            <w:tcW w:w="1360"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税金支出</w:t>
            </w:r>
          </w:p>
        </w:tc>
        <w:tc>
          <w:tcPr>
            <w:tcW w:w="1046"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13166</w:t>
            </w:r>
          </w:p>
        </w:tc>
        <w:tc>
          <w:tcPr>
            <w:tcW w:w="94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项</w:t>
            </w:r>
          </w:p>
        </w:tc>
        <w:tc>
          <w:tcPr>
            <w:tcW w:w="1151"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w:t>
            </w:r>
          </w:p>
        </w:tc>
        <w:tc>
          <w:tcPr>
            <w:tcW w:w="1988"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13166</w:t>
            </w:r>
          </w:p>
        </w:tc>
        <w:tc>
          <w:tcPr>
            <w:tcW w:w="3977" w:type="dxa"/>
            <w:shd w:val="clear" w:color="auto" w:fill="F1F9BF"/>
            <w:vAlign w:val="center"/>
          </w:tcPr>
          <w:p>
            <w:pPr>
              <w:keepNext w:val="0"/>
              <w:keepLines w:val="0"/>
              <w:widowControl/>
              <w:suppressLineNumbers w:val="0"/>
              <w:shd w:val="clear" w:fill="F1F9BF"/>
              <w:spacing w:line="330" w:lineRule="atLeast"/>
              <w:ind w:left="0" w:firstLine="0"/>
              <w:jc w:val="left"/>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税金=预算总额*机构税率（税率按照5.65%算）</w:t>
            </w:r>
          </w:p>
        </w:tc>
      </w:tr>
    </w:tbl>
    <w:p>
      <w:pPr>
        <w:rPr>
          <w:vanish/>
          <w:sz w:val="24"/>
          <w:szCs w:val="24"/>
        </w:rPr>
      </w:pPr>
    </w:p>
    <w:tbl>
      <w:tblPr>
        <w:tblW w:w="10464" w:type="dxa"/>
        <w:tblCellSpacing w:w="0" w:type="dxa"/>
        <w:tblInd w:w="15" w:type="dxa"/>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
      <w:tblGrid>
        <w:gridCol w:w="2616"/>
        <w:gridCol w:w="2407"/>
        <w:gridCol w:w="2616"/>
        <w:gridCol w:w="2825"/>
      </w:tblGrid>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750" w:hRule="atLeast"/>
          <w:tblCellSpacing w:w="0" w:type="dxa"/>
        </w:trPr>
        <w:tc>
          <w:tcPr>
            <w:tcW w:w="10464" w:type="dxa"/>
            <w:gridSpan w:val="4"/>
            <w:shd w:val="clear" w:color="auto" w:fill="0060A8"/>
            <w:vAlign w:val="center"/>
          </w:tcPr>
          <w:p>
            <w:pPr>
              <w:keepNext w:val="0"/>
              <w:keepLines w:val="0"/>
              <w:widowControl/>
              <w:suppressLineNumbers w:val="0"/>
              <w:shd w:val="clear" w:fill="0060A8"/>
              <w:spacing w:line="330" w:lineRule="atLeast"/>
              <w:ind w:left="0" w:firstLine="0"/>
              <w:jc w:val="center"/>
              <w:rPr>
                <w:rFonts w:hint="eastAsia" w:ascii="宋体" w:hAnsi="宋体" w:eastAsia="宋体" w:cs="宋体"/>
                <w:b w:val="0"/>
                <w:i w:val="0"/>
                <w:caps w:val="0"/>
                <w:color w:val="000000"/>
                <w:spacing w:val="0"/>
                <w:sz w:val="18"/>
                <w:szCs w:val="18"/>
              </w:rPr>
            </w:pPr>
            <w:r>
              <w:rPr>
                <w:rStyle w:val="3"/>
                <w:rFonts w:hint="eastAsia" w:ascii="宋体" w:hAnsi="宋体" w:eastAsia="宋体" w:cs="宋体"/>
                <w:i w:val="0"/>
                <w:caps w:val="0"/>
                <w:color w:val="FFFFFF"/>
                <w:spacing w:val="0"/>
                <w:kern w:val="0"/>
                <w:sz w:val="30"/>
                <w:szCs w:val="30"/>
                <w:lang w:val="en-US" w:eastAsia="zh-CN" w:bidi="ar"/>
              </w:rPr>
              <w:t>资源需求</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资金需求</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233012元</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资金用途</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运营管理服务项目</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场地面积</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300平方米</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场地地域</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陆家镇邵村社区</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志愿者</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需求人数</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185</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社工需求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需求人数</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3</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物资需求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需求数量</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人次培养（公益学堂）资料20份，项目孵化资料980份，平台搭建资料费100份，组织孵化资料费200份，茶水费120人次，品牌推广茶水费200人次，其他</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600" w:hRule="atLeast"/>
          <w:tblCellSpacing w:w="0" w:type="dxa"/>
        </w:trPr>
        <w:tc>
          <w:tcPr>
            <w:tcW w:w="2616" w:type="dxa"/>
            <w:vMerge w:val="restart"/>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专业需求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专业类别</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社会服务管理、社会工作、应用心理学、会计、教育</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vMerge w:val="continue"/>
            <w:shd w:val="clear" w:color="auto" w:fill="0097CC"/>
            <w:vAlign w:val="center"/>
          </w:tcPr>
          <w:p>
            <w:pPr>
              <w:jc w:val="center"/>
              <w:rPr>
                <w:rFonts w:hint="eastAsia" w:ascii="宋体" w:hAnsi="宋体" w:eastAsia="宋体" w:cs="宋体"/>
                <w:b w:val="0"/>
                <w:i w:val="0"/>
                <w:caps w:val="0"/>
                <w:color w:val="FFFFFF"/>
                <w:spacing w:val="0"/>
                <w:sz w:val="18"/>
                <w:szCs w:val="18"/>
              </w:rPr>
            </w:pP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专家资质</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助理社工师、中级社工、心理咨询师、会计初级</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其他需求</w:t>
            </w:r>
          </w:p>
        </w:tc>
        <w:tc>
          <w:tcPr>
            <w:tcW w:w="2407"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具体说明</w:t>
            </w:r>
          </w:p>
        </w:tc>
        <w:tc>
          <w:tcPr>
            <w:tcW w:w="5441" w:type="dxa"/>
            <w:gridSpan w:val="2"/>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具体再说</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需求时间</w:t>
            </w:r>
          </w:p>
        </w:tc>
        <w:tc>
          <w:tcPr>
            <w:tcW w:w="240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2015.12.1—2016.11.30</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项目联系人</w:t>
            </w:r>
          </w:p>
        </w:tc>
        <w:tc>
          <w:tcPr>
            <w:tcW w:w="2825"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刘苗</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shd w:val="clear"/>
          <w:tblLayout w:type="fixed"/>
          <w:tblCellMar>
            <w:top w:w="0" w:type="dxa"/>
            <w:left w:w="0" w:type="dxa"/>
            <w:bottom w:w="0" w:type="dxa"/>
            <w:right w:w="0" w:type="dxa"/>
          </w:tblCellMar>
        </w:tblPrEx>
        <w:trPr>
          <w:trHeight w:val="60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联系方式</w:t>
            </w:r>
          </w:p>
        </w:tc>
        <w:tc>
          <w:tcPr>
            <w:tcW w:w="2407"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18068087450</w:t>
            </w:r>
          </w:p>
        </w:tc>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val="0"/>
                <w:i w:val="0"/>
                <w:caps w:val="0"/>
                <w:color w:val="FFFFFF"/>
                <w:spacing w:val="0"/>
                <w:sz w:val="18"/>
                <w:szCs w:val="18"/>
              </w:rPr>
            </w:pPr>
            <w:r>
              <w:rPr>
                <w:rFonts w:hint="eastAsia" w:ascii="宋体" w:hAnsi="宋体" w:eastAsia="宋体" w:cs="宋体"/>
                <w:b w:val="0"/>
                <w:i w:val="0"/>
                <w:caps w:val="0"/>
                <w:color w:val="FFFFFF"/>
                <w:spacing w:val="0"/>
                <w:kern w:val="0"/>
                <w:sz w:val="18"/>
                <w:szCs w:val="18"/>
                <w:lang w:val="en-US" w:eastAsia="zh-CN" w:bidi="ar"/>
              </w:rPr>
              <w:t>E-mail</w:t>
            </w:r>
          </w:p>
        </w:tc>
        <w:tc>
          <w:tcPr>
            <w:tcW w:w="2825" w:type="dxa"/>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289372698@qq.com</w:t>
            </w:r>
          </w:p>
        </w:tc>
      </w:tr>
      <w:tr>
        <w:tblPrEx>
          <w:tblBorders>
            <w:top w:val="outset" w:color="47CFFF" w:sz="6" w:space="0"/>
            <w:left w:val="outset" w:color="47CFFF" w:sz="6" w:space="0"/>
            <w:bottom w:val="outset" w:color="47CFFF" w:sz="6" w:space="0"/>
            <w:right w:val="outset" w:color="47CFFF" w:sz="6" w:space="0"/>
            <w:insideH w:val="outset" w:color="47CFFF" w:sz="6" w:space="0"/>
            <w:insideV w:val="outset" w:color="47CFFF" w:sz="6" w:space="0"/>
          </w:tblBorders>
          <w:tblLayout w:type="fixed"/>
          <w:tblCellMar>
            <w:top w:w="0" w:type="dxa"/>
            <w:left w:w="0" w:type="dxa"/>
            <w:bottom w:w="0" w:type="dxa"/>
            <w:right w:w="0" w:type="dxa"/>
          </w:tblCellMar>
        </w:tblPrEx>
        <w:trPr>
          <w:trHeight w:val="750" w:hRule="atLeast"/>
          <w:tblCellSpacing w:w="0" w:type="dxa"/>
        </w:trPr>
        <w:tc>
          <w:tcPr>
            <w:tcW w:w="2616" w:type="dxa"/>
            <w:shd w:val="clear" w:color="auto" w:fill="0097CC"/>
            <w:vAlign w:val="center"/>
          </w:tcPr>
          <w:p>
            <w:pPr>
              <w:keepNext w:val="0"/>
              <w:keepLines w:val="0"/>
              <w:widowControl/>
              <w:suppressLineNumbers w:val="0"/>
              <w:shd w:val="clear" w:fill="0097CC"/>
              <w:spacing w:line="330" w:lineRule="atLeast"/>
              <w:ind w:left="0" w:firstLine="0"/>
              <w:jc w:val="center"/>
              <w:rPr>
                <w:rFonts w:hint="eastAsia" w:ascii="宋体" w:hAnsi="宋体" w:eastAsia="宋体" w:cs="宋体"/>
                <w:b/>
                <w:i w:val="0"/>
                <w:caps w:val="0"/>
                <w:color w:val="FFFFFF"/>
                <w:spacing w:val="0"/>
                <w:sz w:val="18"/>
                <w:szCs w:val="18"/>
              </w:rPr>
            </w:pPr>
            <w:r>
              <w:rPr>
                <w:rFonts w:hint="eastAsia" w:ascii="宋体" w:hAnsi="宋体" w:eastAsia="宋体" w:cs="宋体"/>
                <w:b/>
                <w:i w:val="0"/>
                <w:caps w:val="0"/>
                <w:color w:val="FFFFFF"/>
                <w:spacing w:val="0"/>
                <w:kern w:val="0"/>
                <w:sz w:val="18"/>
                <w:szCs w:val="18"/>
                <w:lang w:val="en-US" w:eastAsia="zh-CN" w:bidi="ar"/>
              </w:rPr>
              <w:t>项目状态</w:t>
            </w:r>
          </w:p>
        </w:tc>
        <w:tc>
          <w:tcPr>
            <w:tcW w:w="7848" w:type="dxa"/>
            <w:gridSpan w:val="3"/>
            <w:shd w:val="clear" w:color="auto" w:fill="F1F9BF"/>
            <w:vAlign w:val="center"/>
          </w:tcPr>
          <w:p>
            <w:pPr>
              <w:keepNext w:val="0"/>
              <w:keepLines w:val="0"/>
              <w:widowControl/>
              <w:suppressLineNumbers w:val="0"/>
              <w:shd w:val="clear" w:fill="F1F9BF"/>
              <w:spacing w:line="330" w:lineRule="atLeast"/>
              <w:ind w:left="0" w:firstLine="0"/>
              <w:jc w:val="center"/>
              <w:rPr>
                <w:rFonts w:hint="eastAsia" w:ascii="宋体" w:hAnsi="宋体" w:eastAsia="宋体" w:cs="宋体"/>
                <w:b w:val="0"/>
                <w:i w:val="0"/>
                <w:caps w:val="0"/>
                <w:color w:val="666666"/>
                <w:spacing w:val="0"/>
                <w:sz w:val="18"/>
                <w:szCs w:val="18"/>
              </w:rPr>
            </w:pPr>
            <w:r>
              <w:rPr>
                <w:rFonts w:hint="eastAsia" w:ascii="宋体" w:hAnsi="宋体" w:eastAsia="宋体" w:cs="宋体"/>
                <w:b w:val="0"/>
                <w:i w:val="0"/>
                <w:caps w:val="0"/>
                <w:color w:val="666666"/>
                <w:spacing w:val="0"/>
                <w:kern w:val="0"/>
                <w:sz w:val="18"/>
                <w:szCs w:val="18"/>
                <w:lang w:val="en-US" w:eastAsia="zh-CN" w:bidi="ar"/>
              </w:rPr>
              <w:t>发布</w:t>
            </w:r>
          </w:p>
        </w:tc>
      </w:tr>
    </w:tbl>
    <w:p>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11532"/>
    <w:rsid w:val="3A1115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2016-04-25T06:41:00Z</dcterms:created>
  <dc:creator>lerenlezhu-pc</dc:creator>
  <cp:lastModifiedBy>lerenlezhu-pc</cp:lastModifiedBy>
  <dcterms:modified xsi:type="dcterms:W3CDTF">2016-04-25T06:41:55Z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